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>
          <w:rFonts w:ascii="Proxima Nova" w:cs="Proxima Nova" w:eastAsia="Proxima Nova" w:hAnsi="Proxima Nova"/>
          <w:b w:val="1"/>
          <w:bCs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rtl w:val="0"/>
        </w:rPr>
        <w:t xml:space="preserve">[CAPTION]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Fuel up for March hoops with savings on Grubhub+ Student. Score! Terms &amp; fees apply.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